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https://www.cnmc.es/expedientes/c082216</w:t>
      </w:r>
    </w:p>
    <w:p>
      <w:r>
        <w:t>Pages translated : 2</w:t>
      </w:r>
    </w:p>
    <w:p/>
    <w:p>
      <w:r>
        <w:rPr>
          <w:b/>
        </w:rPr>
        <w:t>[Pages 1–2]</w:t>
      </w:r>
    </w:p>
    <w:p>
      <w:r>
        <w:t>RESOLUTION</w:t>
        <w:br/>
        <w:t>CASE FILE: C/0822/16 AFFIDEA - Q DIAGNOSTICA</w:t>
        <w:br/>
        <w:t>COMPETITION CHAMBER</w:t>
        <w:br/>
        <w:t>President</w:t>
        <w:br/>
        <w:t>Mr. José María Marín Quemada</w:t>
        <w:br/>
        <w:t>Counselors</w:t>
        <w:br/>
        <w:t>Mr. Josep María Guinart Solà</w:t>
        <w:br/>
        <w:t>Ms. Clotilde de la Higuera González</w:t>
        <w:br/>
        <w:t>Ms. María Ortiz Aguilar</w:t>
        <w:br/>
        <w:t>Mr. Fernando Torremocha y García-Sáenz</w:t>
        <w:br/>
        <w:t>Secretary</w:t>
        <w:br/>
        <w:t>Mr. Tomás Suárez-Inclán González</w:t>
        <w:br/>
        <w:t>In Madrid, on January 19, 2017</w:t>
        <w:br/>
        <w:t>Having reviewed the case file processed in accordance with Law 15/2007, of July 3,</w:t>
        <w:br/>
        <w:t>on the Defense of Competition, notification of the economic concentration operation</w:t>
        <w:br/>
        <w:t>consisting of the acquisition by Affidea Diagnostics B.V. (hereinafter,</w:t>
        <w:br/>
        <w:t>Affidea), of exclusive control over Q Diagnóstica Quality, S.L. (hereinafter, Q</w:t>
        <w:br/>
        <w:t>Diagnóstica). (Case File C/0822/16 AFFIDEA - Q DIAGNOSTICA), and in agreement</w:t>
        <w:br/>
        <w:t>with the report and proposal submitted by the Competition Directorate, the</w:t>
        <w:br/>
        <w:t>Competition Chamber of the National Commission of Markets and Competition has resolved, in application of Article 57.2.a) of the aforementioned Law,</w:t>
        <w:br/>
        <w:t>to authorize the said concentration operation.</w:t>
        <w:br/>
        <w:t>On the other hand, taking into account the existing national and community precedents in the matter and what is established in the Commission Communication on restrictions directly linked to the execution of a concentration and necessary for that purpose (2005/C 56/03), this Competition Chamber considers that the non-competition and non-solicitation agreement, both in terms of its content and its duration, does not go beyond what is reasonably required by the notified concentration operation, being considered an integral part thereof. All of this in accordance with what is indicated in the aforementioned report proposal of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