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https://www.cnmc.es/expedientes/c082517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CASE FILE: C/0825/17 CASTILLE/NGE/EI/CDB</w:t>
        <w:br/>
        <w:t>COMPETITION CHAMBER</w:t>
        <w:br/>
        <w:t>President</w:t>
        <w:br/>
        <w:t>Mr. José María Marín Quemada</w:t>
        <w:br/>
        <w:t>Counselors</w:t>
        <w:br/>
        <w:t>Mr. Josep María Guinart Solà</w:t>
        <w:br/>
        <w:t>Ms. Clotilde de la Higuera González</w:t>
        <w:br/>
        <w:t>Ms. María Ortiz Aguilar</w:t>
        <w:br/>
        <w:t>Mr. Fernando Torremocha y García-Sáenz</w:t>
        <w:br/>
        <w:t>Secretary</w:t>
        <w:br/>
        <w:t>Mr. Tomás Suárez-Inclán González</w:t>
        <w:br/>
        <w:t>In Madrid, on January 19, 2017</w:t>
        <w:br/>
        <w:t>Having reviewed the case file processed in accordance with Law 15/2007, of July 3,</w:t>
        <w:br/>
        <w:t>on the Defense of Competition, notification of the economic concentration operation</w:t>
        <w:br/>
        <w:t>consisting of the acquisition of joint control of the company</w:t>
        <w:br/>
        <w:t>Calcaires du Biterrois by the companies Castille SA, Eiffage Infrastructures</w:t>
        <w:br/>
        <w:t>SAS and NGE SAS., (Case File C/0825/17 CASTILLE/NGE/EI/CDB), and in agreement</w:t>
        <w:br/>
        <w:t>with the report and proposal submitted by the Competition Directorate, the</w:t>
        <w:br/>
        <w:t>Competition Chamber of the National Commission on Markets and Competition has resolved, in application of Article 57.2.a) of the aforementioned Law,</w:t>
        <w:br/>
        <w:t>to authorize the said concentration operation.</w:t>
        <w:br/>
        <w:t>This Resolution shall be communicated to the Competition Directorate of the</w:t>
        <w:br/>
        <w:t>National Commission on Markets and Competition and notified to the interested party,</w:t>
        <w:br/>
        <w:t>informing them that it concludes the administrative procedure and that a contentious-administrative appeal may be filed against it before the National Court,</w:t>
        <w:br/>
        <w:t>within two 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