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https://www.cnmc.es/expedientes/c082717</w:t>
      </w:r>
    </w:p>
    <w:p>
      <w:r>
        <w:t>Pages translated : 2</w:t>
      </w:r>
    </w:p>
    <w:p/>
    <w:p>
      <w:r>
        <w:rPr>
          <w:b/>
        </w:rPr>
        <w:t>[Pages 1–2]</w:t>
      </w:r>
    </w:p>
    <w:p>
      <w:r>
        <w:t>RESOLUTION</w:t>
        <w:br/>
        <w:t>CASE FILE: C/0827/16 REDEXIS/CEPSA GLP</w:t>
        <w:br/>
        <w:t>COMPETITION CHAMBER</w:t>
        <w:br/>
        <w:t>President</w:t>
        <w:br/>
        <w:t>Mr. José María Marín Quemada</w:t>
        <w:br/>
        <w:t>Counselors</w:t>
        <w:br/>
        <w:t>Mr. Josep María Guinart Solà</w:t>
        <w:br/>
        <w:t>Ms. Clotilde de la Higuera González</w:t>
        <w:br/>
        <w:t>Ms. María Ortiz Aguilar</w:t>
        <w:br/>
        <w:t>Mr. Fernando Torremocha y García-Sáenz</w:t>
        <w:br/>
        <w:t>Secretary</w:t>
        <w:br/>
        <w:t>Mr. Tomás Suárez-Inclán González</w:t>
        <w:br/>
        <w:t>In Madrid, on February 2, 2017</w:t>
        <w:br/>
        <w:t>Having reviewed the case file processed in accordance with Law 15/2007, of July 3, on the Defense of Competition, notification of the economic concentration operation consisting of the acquisition by REDEXIS GAS, S.A. (hereinafter, REDEXIS), of several assets for the distribution and supply of piped liquefied petroleum gas (hereinafter, LPG), owned by CEPSA COMERCIAL PETRÓLEO, S.A.U. (hereinafter, CEPSA). (Case File C/0827/16 REDEXIS/CEPSA GLP),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On the other hand, taking into account the Communication from the European Commission regarding restrictions directly linked to the execution of a concentration and necessary for that purpose (2005/C 56/03) and the practice of national competition authorities, it is proposed that the contracts for the supply of bulk LPG signed with CEPSA be excluded from the authorization, to the extent that they are exclusive in favor of CEPSA and, failing that, to the extent that they exceed 5 years in duration, thus leaving such restriction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