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https://www.cnmc.es/expedientes/c082817</w:t>
      </w:r>
    </w:p>
    <w:p>
      <w:r>
        <w:t>Pages translated : 1</w:t>
      </w:r>
    </w:p>
    <w:p/>
    <w:p>
      <w:r>
        <w:rPr>
          <w:b/>
        </w:rPr>
        <w:t>[Pages 1–1]</w:t>
      </w:r>
    </w:p>
    <w:p>
      <w:r>
        <w:t>RESOLUTION</w:t>
        <w:br/>
        <w:t>CASE FILE C/0828/17 GARCIA CARRION/DAFSA</w:t>
        <w:br/>
        <w:t>COMPETITION CHAMBER</w:t>
        <w:br/>
        <w:t>President</w:t>
        <w:br/>
        <w:t>Mr. José María Marín Quemada</w:t>
        <w:br/>
        <w:t>Counselors</w:t>
        <w:br/>
        <w:t>Mr. Josep Maria Guinart Solà</w:t>
        <w:br/>
        <w:t>Ms. Clotilde de la Higuera González</w:t>
        <w:br/>
        <w:t>Ms. María Ortiz Aguilar</w:t>
        <w:br/>
        <w:t>Mr. Fernando Torremocha y García-Sáenz</w:t>
        <w:br/>
        <w:t>Secretary</w:t>
        <w:br/>
        <w:t>Mr. Joaquim Hortalà i Vallvé</w:t>
        <w:br/>
        <w:t>In Madrid, on February 28, 2017</w:t>
      </w:r>
    </w:p>
    <w:p>
      <w:r>
        <w:t>Having reviewed the case file processed in accordance with Law 15/2007, of July 3, on the Defense of Competition, notification of the economic concentration operation consisting of the acquisition by the company J. GARCÍA CARRIÓN, S.A. (GARCÍA CARRIÓN) of exclusive control of the company DESARROLLOS ALIMENTARIOS FRESCOS, S.A.U. (DAFSA), dedicated to the manufacturing and marketing of juices, nectars, mixed juice drinks and other foods, horchatas, and gazpachos and salmorejos for sale under distributor brand (MDD). (Case File C/0828/17 GARCIA CARRION/DAFSA), and being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