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https://www.cnmc.es/expedientes/c083417</w:t>
      </w:r>
    </w:p>
    <w:p>
      <w:r>
        <w:t>Pages translated : 2</w:t>
      </w:r>
    </w:p>
    <w:p/>
    <w:p>
      <w:r>
        <w:rPr>
          <w:b/>
        </w:rPr>
        <w:t>[Pages 1–2]</w:t>
      </w:r>
    </w:p>
    <w:p>
      <w:r>
        <w:t>RESOLUTION</w:t>
        <w:br/>
        <w:t>CASE FILE C/0834/17 JSB/MEP</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March 30, 2017</w:t>
        <w:br/>
        <w:t>Having reviewed the case file processed in accordance with Law 15/2007, of July 3,</w:t>
        <w:br/>
        <w:t>on the Defense of Competition, notification of the economic concentration operation</w:t>
        <w:br/>
        <w:t>consisting of the acquisition of exclusive control by JSB</w:t>
        <w:br/>
        <w:t>GROUP A/S (hereinafter JSB) of MECANIZACIÓN DE ESTRUCTURAS</w:t>
        <w:br/>
        <w:t>POLIMÉRICAS, S.L. (hereinafter, MEP) (Case File C/0834/17 JSB/MEP), and</w:t>
        <w:br/>
        <w:t>agreeing with the report and proposal submitted by the Competition Directorate, the Competition Chamber of the National Commission of Markets and Competition has resolved, in application of Article 57.2.a) of the aforementioned Law, to authorize the said concentration operation.</w:t>
        <w:br/>
        <w:t>Furthermore, taking into account the Communication from the European Commission</w:t>
        <w:br/>
        <w:t>on restrictions directly linked to the execution of a concentration and necessary for that purpose (2005/C 56/03) and the practice of national competition authorities, this Chamber considers that: (i) the content of the non-compete agreement, in what exceeds strictly the Transferred Business and the geographical areas where the sellers were present or there was evidence that they had planned to enter at the time of the transaction, exceeding what is indicated in the aforementioned Communication, is not considered ancillary or necessary for the operation, and is therefore subject to the regulations on agreements between companies; (ii) regarding the non-solicitation agreement, it is understood that its content and duration fall within what is considered necessary for the execution of the notified operation, with said agreement forming part of it.</w:t>
        <w:br/>
        <w:t>All of this in accordance with what is stated in paragraphs (16) and (17) of the aforementioned report proposal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