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https://www.cnmc.es/expedientes/c083517</w:t>
      </w:r>
    </w:p>
    <w:p>
      <w:r>
        <w:t>Pages translated : 1</w:t>
      </w:r>
    </w:p>
    <w:p/>
    <w:p>
      <w:r>
        <w:rPr>
          <w:b/>
        </w:rPr>
        <w:t>[Pages 1–1]</w:t>
      </w:r>
    </w:p>
    <w:p>
      <w:r>
        <w:t>RESOLUTION</w:t>
        <w:br/>
        <w:t>File No. C/0835/17 CEPSA/VILLANUEVA/PAZ</w:t>
        <w:br/>
        <w:t>COMPETITION CHAMBER</w:t>
        <w:br/>
        <w:t>President</w:t>
        <w:br/>
        <w:t>Mr. José María Marín Quemada</w:t>
        <w:br/>
        <w:t>Counselors</w:t>
        <w:br/>
        <w:t>Mr. Josep Maria Guinart Solà</w:t>
        <w:br/>
        <w:t>Ms. Clotilde de la Higuera González</w:t>
        <w:br/>
        <w:t>Ms. María Ortiz Aguilar</w:t>
        <w:br/>
        <w:t>Secretary</w:t>
        <w:br/>
        <w:t>Mr. Joaquim Hortalà i Vallvé</w:t>
        <w:br/>
        <w:t>In Madrid, on June 15, 2017</w:t>
        <w:br/>
        <w:t>Having reviewed the file processed in accordance with Law 15/2007, of July 3, on the Defense of Competition, notification of the economic concentration operation consisting of the acquisition, by CEPSA COMERCIAL PETRÓLEO, S.A.U., of exclusive control of 21 companies dedicated to the retail distribution of automotive fuels, through 24 service stations located in the provinces of Guadalajara, Toledo, and Madrid (file C/0835/17 CEPSA/VILLANUEVA/PAZ), and being in agreement with the report and proposal submitted by the Directorate of Competition, the Competition Chamber of the National Commission of Markets and Competition has resolved, in application of Article 57.2.b) of the aforementioned Law, to authorize the said concentration operation subject to the fulfillment of the commitments presented by the notifier on May 25, 2017.</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