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https://www.cnmc.es/expedientes/c083917</w:t>
      </w:r>
    </w:p>
    <w:p>
      <w:r>
        <w:t>Pages translated : 2</w:t>
      </w:r>
    </w:p>
    <w:p/>
    <w:p>
      <w:r>
        <w:rPr>
          <w:b/>
        </w:rPr>
        <w:t>[Pages 1–2]</w:t>
      </w:r>
    </w:p>
    <w:p>
      <w:r>
        <w:t>RESOLUTION</w:t>
        <w:br/>
        <w:t>CASE FILE C/0839/17 CDPQ/DATAMARS</w:t>
        <w:br/>
        <w:t>COMPETITION CHAMBER</w:t>
        <w:br/>
        <w:t>President</w:t>
        <w:br/>
        <w:t>Mr. José María Marín Quemada</w:t>
        <w:br/>
        <w:t>Counselors</w:t>
        <w:br/>
        <w:t>Mr. Josep Maria Guinart Solà</w:t>
        <w:br/>
        <w:t>Ms. Clotilde de la Higuera González</w:t>
        <w:br/>
        <w:t>Ms. María Ortiz Aguilar</w:t>
        <w:br/>
        <w:t>Mr. Fernando Torremocha y García-Sáenz</w:t>
        <w:br/>
        <w:t>Secretary</w:t>
        <w:br/>
        <w:t>Mr. Joaquim Hortalà i Vallvé</w:t>
        <w:br/>
        <w:t>In Madrid, on March 30, 2017</w:t>
        <w:br/>
        <w:t>Having reviewed the case file processed in accordance with Law 15/2007, of July 3,</w:t>
        <w:br/>
        <w:t>on the Defense of Competition, notification of the economic concentration operation</w:t>
        <w:br/>
        <w:t>consisting of the acquisition of exclusive control by the Canadian institutional fund</w:t>
        <w:br/>
        <w:t>CAISSE DE DEPOT ET DE PLACEMENT DU QUEBEC (CDPQ), through the Luxembourg companies DATAMARS INVESTMENTS S.À.R.L and DATAMARS HOLDING S.À.R.L (the latter company being wholly controlled by DATAMARS INVESTMENT), of the company DATARMARS S.A, wholly owned by the former and dedicated to the manufacture and marketing of visual and electronic identification systems for use in livestock and companion animals, as well as in textile products (case file C/0839/17 CDPQ/DATAMARS), and being in agreement with the report and proposal submitted by the Directorate of Competition, the Competition Chamber of the National Commission on Markets and Competition has resolved, in application of Article 57.2.a) of the aforementioned Law, to authorize the said concentration operation.</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