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https://www.cnmc.es/expedientes/c084517</w:t>
      </w:r>
    </w:p>
    <w:p>
      <w:r>
        <w:t>Pages translated : 2</w:t>
      </w:r>
    </w:p>
    <w:p/>
    <w:p>
      <w:r>
        <w:rPr>
          <w:b/>
        </w:rPr>
        <w:t>[Pages 1–2]</w:t>
      </w:r>
    </w:p>
    <w:p>
      <w:r>
        <w:t>RESOLUTION</w:t>
        <w:br/>
        <w:t>CASE FILE C/0845/17 PAUL HARTMANN/LINDOR -ASSETS-</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May 4, 2017</w:t>
        <w:br/>
        <w:t>Having reviewed the case file processed in accordance with Law 15/2007, of July 3, on the Defense of Competition, the notification of the economic concentration operation consisting of the acquisition by PAUL HARTMANN AG (“PAUL HARTMANN”) of certain assets owned by THE PROCTER &amp; GAMBLE COMPANY (“P&amp;G”) related to LINDOR products for adult incontinence in Spain, Portugal, and Andorra (case file C/0845/17 PAUL HARTMANN/LINDOR -ASSETS-),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taking into account the Communication from the European Commission on restrictions directly linked to the execution of a concentration and necessary for that purpose (2005/C 56/03) and the practice of national competition authorities, the non-solicitation clause regarding the commitment of PAUL HARTMANN not to hire any of P&amp;G's employees is not considered necessary or ancillary, thus leaving said restriction subject to the regulations on agreements between companies. All of this in accordance with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