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https://www.cnmc.es/expedientes/c084817</w:t>
      </w:r>
    </w:p>
    <w:p>
      <w:r>
        <w:t>Pages translated : 1</w:t>
      </w:r>
    </w:p>
    <w:p/>
    <w:p>
      <w:r>
        <w:rPr>
          <w:b/>
        </w:rPr>
        <w:t>[Pages 1–1]</w:t>
      </w:r>
    </w:p>
    <w:p>
      <w:r>
        <w:t>RESOLUTION</w:t>
        <w:br/>
        <w:t>CASE FILE C/0848/17 PORTOBELLO/CENTAURO</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May 9, 2017</w:t>
        <w:br/>
        <w:t>Having reviewed the case file processed in accordance with Law 15/2007, of July 3, on the Defense of Competition, notification of the economic concentration operation consisting of the acquisition of exclusive control of Centauro Rent a Car, S.L.U. and Nordic Bus, S.L.U. (hereinafter CENTAURO) by Portobello Fund III, a simplified regime venture capital fund controlled by Portobello Capital Gestión (hereinafter PORTOBELLO) (case file C/0848/17 PORTOBELLO/CENTAURO), and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