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https://www.cnmc.es/expedientes/c085017</w:t>
      </w:r>
    </w:p>
    <w:p>
      <w:r>
        <w:t>Pages translated : 1</w:t>
      </w:r>
    </w:p>
    <w:p/>
    <w:p>
      <w:r>
        <w:rPr>
          <w:b/>
        </w:rPr>
        <w:t>[Pages 1–1]</w:t>
      </w:r>
    </w:p>
    <w:p>
      <w:r>
        <w:t>RESOLUTION</w:t>
        <w:br/>
        <w:t>FILE C/0850/17 GRUPO EMPRESARIAL ENERGALICIA/EL PROGRESO DEL PIRINEO/ SOCIEDAD ELECTRICA DE RIBERA DEL FRESNO</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June 20, 2017</w:t>
        <w:br/>
        <w:t xml:space="preserve">Having reviewed the file processed in accordance with Law 15/2007, of July 3, on the Defense of Competition, notification of the economic concentration operation consisting of the acquisition by GRUPO EMPRESARIAL ENERGALICIA (hereinafter GEE), of 100% of the shareholdings representing the share capital of EL PROGRESO DEL PIRINEO, S.L. (EL PROGRESO), and 99.08% of the shareholdings representing the share capital of SOCIEDAD ELÉCTRICA DE RIBERA DEL FRESNO, S.L. (RIBERA DEL FRESNO) (file C/0850/17 GRUPO EMPRESARIAL ENERGALICIA/EL PROGRESO DEL PIRINEO/ SOCIEDAD ELECTRICA DE RIBERA DEL FRESNO),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