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https://www.cnmc.es/expedientes/c085117</w:t>
      </w:r>
    </w:p>
    <w:p>
      <w:r>
        <w:t>Pages translated : 1</w:t>
      </w:r>
    </w:p>
    <w:p/>
    <w:p>
      <w:r>
        <w:rPr>
          <w:b/>
        </w:rPr>
        <w:t>[Pages 1–1]</w:t>
      </w:r>
    </w:p>
    <w:p>
      <w:r>
        <w:t>RESOLUTION</w:t>
        <w:br/>
        <w:t>File No. C/0851/17 SORIA IMPRESIÓN/SORIANA EDICIONES</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15, 2017</w:t>
        <w:br/>
        <w:t>Having reviewed the file processed in accordance with Law 15/2007, of July 3, on the Defense of Competition, notification of the economic concentration operation consisting of the creation of a new joint venture (NEWCO) by Soria Impresión, S.A. and Soriana de Ediciones, S.A. (file C/0851/17 SORIA IMPRESIÓN/SORIANA EDICIONES),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