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https://www.cnmc.es/expedientes/c085317</w:t>
      </w:r>
    </w:p>
    <w:p>
      <w:r>
        <w:t>Pages translated : 2</w:t>
      </w:r>
    </w:p>
    <w:p/>
    <w:p>
      <w:r>
        <w:rPr>
          <w:b/>
        </w:rPr>
        <w:t>[Pages 1–2]</w:t>
      </w:r>
    </w:p>
    <w:p>
      <w:r>
        <w:t>RESOLUTION</w:t>
        <w:br/>
        <w:t>File No. C/0853/17 LINCOLN ELECTRIC FRANCE/AIR LIQUIDE WELDING</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June 1, 2017</w:t>
        <w:br/>
        <w:t>Having reviewed the file processed in accordance with Law 15/2007, of July 3, on the Defense of Competition, notification of the economic concentration operation consisting of the acquisition by the company LINCOLN ELECTRIC FRANCE, S.A.S, a subsidiary of the American business group LINCOLN ELECTRIC INC, of exclusive control of the company AIR LIQUIDE WELDING, dedicated to the manufacture and marketing of welding equipment, welding consumables, and plasma cutting, oxy-fuel cutting, and oxy-acetylene equipment (file C/0853/17 LINCOLN ELECTRIC FRANCE/AIR LIQUIDE WELDING),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On the other hand,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that, in relation to the non-compete clause, any duration exceeding three years, as well as the restriction of not exceeding a participation of 15% in competing companies insofar as they are carried out exclusively for financial investment purposes and do not confer management functions or decisive influence, are not necessary or ancillary to the analyzed operation. All of this in accordance with what is indicated in the aforementioned report proposal of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