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https://www.cnmc.es/expedientes/c085417</w:t>
      </w:r>
    </w:p>
    <w:p>
      <w:r>
        <w:t>Pages translated : 1</w:t>
      </w:r>
    </w:p>
    <w:p/>
    <w:p>
      <w:r>
        <w:rPr>
          <w:b/>
        </w:rPr>
        <w:t>[Pages 1–1]</w:t>
      </w:r>
    </w:p>
    <w:p>
      <w:r>
        <w:t>RESOLUTION</w:t>
        <w:br/>
        <w:t>File No. C/0854/17 LBO FRANCE GESTION/ GRUPO HMY</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June 1, 2017</w:t>
        <w:br/>
        <w:t>Having reviewed the file processed in accordance with Law 15/2007, of July 3, on the Defense of Competition, notification of the economic concentration operation consisting of the acquisition of exclusive control of HMY INTERNATIONAL by the investment funds WHITE KNIGHT IX FPCI-1 and HMY INVEST, OXIO PRIVATE EQUITY FPC and WHITE KNIGHT IX BIS FPCI, represented by their management company LBO FRANCE GESTION SAS (file C/0854/17 LBO FRANCE GESTION/ GRUPO HMY),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