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https://www.cnmc.es/expedientes/c085517</w:t>
      </w:r>
    </w:p>
    <w:p>
      <w:r>
        <w:t>Pages translated : 1</w:t>
      </w:r>
    </w:p>
    <w:p/>
    <w:p>
      <w:r>
        <w:rPr>
          <w:b/>
        </w:rPr>
        <w:t>[Pages 1–1]</w:t>
      </w:r>
    </w:p>
    <w:p>
      <w:r>
        <w:t>RESOLUTION</w:t>
        <w:br/>
        <w:t>File No. C/0855/17 AVALUNION/SURAVAL</w:t>
        <w:br/>
        <w:t>COMPETITION CHAMBER</w:t>
        <w:br/>
        <w:t>President</w:t>
        <w:br/>
        <w:t>Mr. José María Marín Quemada</w:t>
        <w:br/>
        <w:t>Counselors</w:t>
        <w:br/>
        <w:t>Mr. Josep Maria Guinart Solà</w:t>
        <w:br/>
        <w:t>Ms. Clotilde de la Higuera González</w:t>
        <w:br/>
        <w:t>Ms. María Ortiz Aguilar</w:t>
        <w:br/>
        <w:t>Mr. Fernando Torremocha y García-Sáenz</w:t>
        <w:br/>
        <w:t>Secretary</w:t>
        <w:br/>
        <w:t>Mr. Joaquim Hortalà i Vallvé</w:t>
        <w:br/>
        <w:t>In Madrid, on June 8, 2017</w:t>
        <w:br/>
        <w:t>Having reviewed the file processed in accordance with Law 15/2007, of July 3, on the Defense of Competition, notification of the economic concentration operation consisting of the merger of UNIÓN ANDALUZA DE AVALES, SOCIEDAD DE GARANTÍA RECÍPROCA and SOCIEDAD DE GARANTÍA RECÍPROCA DE ANDALUCIA SURAVAL (file C/0855/17 AVALUNION/SURAVAL), and in agreement with the report and proposal submitted by the Competition Directorate, the Competition Chamber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