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https://www.cnmc.es/expedientes/c085617</w:t>
      </w:r>
    </w:p>
    <w:p>
      <w:r>
        <w:t>Pages translated : 2</w:t>
      </w:r>
    </w:p>
    <w:p/>
    <w:p>
      <w:r>
        <w:rPr>
          <w:b/>
        </w:rPr>
        <w:t>[Pages 1–2]</w:t>
      </w:r>
    </w:p>
    <w:p>
      <w:r>
        <w:t>RESOLUTION</w:t>
        <w:br/>
        <w:t>File No. C/0856/17 IIF/NATURGAS ENERGIA DISTRIBUCIÓN</w:t>
        <w:br/>
        <w:t>COMPETITION CHAMBER</w:t>
      </w:r>
    </w:p>
    <w:p>
      <w:r>
        <w:t>President</w:t>
        <w:br/>
        <w:t>Mr. José María Marín Quemada</w:t>
      </w:r>
    </w:p>
    <w:p>
      <w:r>
        <w:t>Counselors</w:t>
        <w:br/>
        <w:t>Mr. Josep Maria Guinart Solà</w:t>
        <w:br/>
        <w:t>Ms. Clotilde de la Higuera González</w:t>
        <w:br/>
        <w:t>Ms. María Ortiz Aguilar</w:t>
      </w:r>
    </w:p>
    <w:p>
      <w:r>
        <w:t>Secretary</w:t>
        <w:br/>
        <w:t>Mr. Joaquim Hortalà i Vallvé</w:t>
      </w:r>
    </w:p>
    <w:p>
      <w:r>
        <w:t>In Madrid, on June 15, 2017</w:t>
      </w:r>
    </w:p>
    <w:p>
      <w:r>
        <w:t>Having reviewed the file processed in accordance with Law 15/2007, of July 3, on the Defense of Competition, notification of the economic concentration operation consisting of the acquisition by IIF INT’L HOLDING L.P. of exclusive control over NATURGAS ENERGÍA DISTRIBUCIÓN, S.A.U., (NED) (file C/0856/17 IIF/NATURGAS ENERGIA DISTRIBUCIÓN),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without prejudice to what is contemplated in the Resolution of July 28, 2016 (file C/0759/16) in relation to the contract for the supply of bulk LPG signed between NATURGAS ENERGIA DISTRIBUCIÓN, S.A.U. and REPSOL BUTANO, S.A., and the commitments acquired by the acquired company and its dependent companies, to which they will remain bound after the implementation of the proposed concentration operation.</w:t>
      </w:r>
    </w:p>
    <w:p>
      <w:r>
        <w:t>Likewise, and taking into account the Communication from the European Commission on restrictions directly linked to the execution of a concentration and necessary for that purpose (2005/C 56/03) and the practice of national competition authorities, any duration of the transition services provided by the EDP Group Companies to NED that exceeds 5 years is not considered ancillary or necessary for the execution of the operation, as well as the provision of services that exceed what is indicated in the aforementioned Communication. This is provided that the detailed description of such services and their main terms and conditions, such as the duration, the resources that the seller will provide, the costs, the availability of essential personnel, and, if applicable, the level of service, will not be established by the parties until a later phase of the authorization of the concentration operation by the CNMC.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