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https://www.cnmc.es/expedientes/c085717</w:t>
      </w:r>
    </w:p>
    <w:p>
      <w:r>
        <w:t>Pages translated : 1</w:t>
      </w:r>
    </w:p>
    <w:p/>
    <w:p>
      <w:r>
        <w:rPr>
          <w:b/>
        </w:rPr>
        <w:t>[Pages 1–1]</w:t>
      </w:r>
    </w:p>
    <w:p>
      <w:r>
        <w:t>RESOLUTION</w:t>
        <w:br/>
        <w:t>File No. C/0857/17 CORPFIN/GRUPO5</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June 15, 2017</w:t>
        <w:br/>
        <w:t>Having reviewed the file processed in accordance with Law 15/2007, of July 3, on the Defense of Competition, notification of the economic concentration operation consisting of the acquisition of exclusive control by CORPFIN CAPITAL ASESORES, S.A., S.G.E.I.C. of GRUPO 5 ACCIÓN Y GESTIÓN SOCIAL, S.A., (file C/0857/17 CORPFIN/GRUPO5),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Likewise, taking into account the existing national and community precedents in the matter and what is established in the Commission Communication on restrictions directly linked to the execution of a concentration and necessary for that purpose (2005/C 56/03), it is considered that non-competition and non-solicitation agreements can only be regarded as directly linked to the execution of the concentration to the extent that they do not exceed a duration of two years following the execution of the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