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https://www.cnmc.es/expedientes/c086117</w:t>
      </w:r>
    </w:p>
    <w:p>
      <w:r>
        <w:t>Pages translated : 2</w:t>
      </w:r>
    </w:p>
    <w:p/>
    <w:p>
      <w:r>
        <w:rPr>
          <w:b/>
        </w:rPr>
        <w:t>[Pages 1–2]</w:t>
      </w:r>
    </w:p>
    <w:p>
      <w:r>
        <w:t>RESOLUTION</w:t>
        <w:br/>
        <w:t>Case File C/0861/17 SANTA LUCÍA/UNICAJA BANCO/AVIVA VIDA/UNICORP</w:t>
        <w:br/>
        <w:t>VIDA/CAJA ESPAÑA VIDA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case file processed in accordance with Law 15/2007, of July 3, on the Defense of Competition, notification of the economic concentration operation consisting of the acquisition by SANTA LUCÍA, S.A. COMPAÑÍA DE SEGUROS Y REASEGUROS (SANTA LUCÍA) of the life insurance and pensions business in Spain of AVIVA EUROPE S.E. (AVIVA EUROPE), by SANTA LUCÍA of exclusive control over AVIVA VIDA Y PENSIONES SEGUROS Y REASEGUROS, S.A., of joint control (50%) with UNICAJA BANCO, S.A. (hereinafter, UNICAJA) and its controlled company, ALTERIA CORPORACIÓN UNICAJA, S.L.U. (hereinafter, ALTERIA), over the joint venture UNICORP VIDA COMPAÑÍA DE SEGUROS Y REASEGUROS, S.A. (hereinafter, UNICORP VIDA), which, prior to the operation, was jointly controlled by UNICAJA and AVIVA EUROPE; and of joint control (50%) with BANCO DE CAJA ESPAÑA DE INVERSIONES, SALAMANCA Y SORIA, S.A. (hereinafter, CEISS) over the joint venture CAJA ESPAÑA VIDA COMPAÑÍA DE SEGUROS Y REASEGUROS, S.A. (hereinafter, CAJA ESPAÑA VIDA), which prior to the operation was jointly controlled by CEISS and AVIVA EUROPE and in accordance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regarding the preferred supplier agreement of the Shareholders' Agreements, this Competition Chamber considers that it is not necessary for the execution of the operation notified, so it cannot be considered an ancillary restriction to it.</w:t>
      </w:r>
    </w:p>
    <w:p>
      <w:r>
        <w:t>The exclusive distribution agreements of the Agency Contracts of UNICORP VIDA and CAJA ESPAÑA VIDA entered into between the parties that limit the ability of UNICAJA and CEISS to distribute certain life insurance and pension plans from third operators other than UNICORP VIDA and CAJA ESPAÑA VIDA go beyond what is reasonably required by the notified concentration operation.</w:t>
        <w:br/>
        <w:t>Therefore, taking into account the recent practice of the now-defunct CNC and what is established in the aforementioned Commission Communication, this Competition Chamber does not consider such distribution agreements to be ancillary to the notified concentration operation, being, if applicable, subject to the regulations applicable to agreements between companies. All of this in accordance with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