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https://www.cnmc.es/expedientes/c086217</w:t>
      </w:r>
    </w:p>
    <w:p>
      <w:r>
        <w:t>Pages translated : 2</w:t>
      </w:r>
    </w:p>
    <w:p/>
    <w:p>
      <w:r>
        <w:rPr>
          <w:b/>
        </w:rPr>
        <w:t>[Pages 1–2]</w:t>
      </w:r>
    </w:p>
    <w:p>
      <w:r>
        <w:t>RESOLUTION</w:t>
        <w:br/>
        <w:t>File No. C/0862/17 BRUSSELS AIRLINES/TCAB -ASSETS-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Having reviewed the file processed in accordance with Law 15/2007, of July 3, on the Defense of Competition, notification of the economic concentration operation consisting of the acquisition of exclusive control by BRUSSELS AIRLINES, N.V. (hereinafter, Brussels Airlines) of certain Assets of the Belgian airline THOMAS COOK AIRLINES BELGIUM, N.V. (hereinafter, TCAB), belonging to the THOMAS COOK Group (TC Group),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Likewise, and taking into account the Communication from the European Commission on restrictions directly linked to the execution of a concentration and necessary for that purpose (2005/C 56/03) and the practice of national competition authorities, this Competition Chamber considers that the content of the supply obligation clause (non-exclusive) does not go beyond what is reasonably required by the concentration operation, and can therefore be considered as an ancillary restriction to the operation, provided that its duration does not exceed 5 years. All of this in accordance with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