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https://www.cnmc.es/expedientes/c086417</w:t>
      </w:r>
    </w:p>
    <w:p>
      <w:r>
        <w:t>Pages translated : 2</w:t>
      </w:r>
    </w:p>
    <w:p/>
    <w:p>
      <w:r>
        <w:rPr>
          <w:b/>
        </w:rPr>
        <w:t>[Pages 1–2]</w:t>
      </w:r>
    </w:p>
    <w:p>
      <w:r>
        <w:t>RESOLUTION</w:t>
        <w:br/>
        <w:t>File No. C/0864/17 MARITIME / REYSER</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Madrid, on July 13, 2017</w:t>
        <w:br/>
        <w:t>Having reviewed the file processed in accordance with Law 15/2007, of July 3, on the Defense of Competition, notification of the economic concentration operation consisting of the acquisition of exclusive control of REMOLQUES Y SERVICIOS MARÍTIMOS, S.L. (REYSER) by P&amp;O MARITIME FZE (P&amp;O MARITIME) through the purchase of 100% of its social shares,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br/>
        <w:t>Likewise, and taking into account the Communication of the European Commission on restrictions directly linked to the execution of a concentration and necessary for that purpose (2005/C 56/03) and the practice of national competition authorities, this Competition Chamber considers that the non-competition agreement, to the extent that it exceeds the territorial scope of the geographic market in which the acquired company was present prior to the operation, must be excluded from the operation and therefore subject to the regulations on agreements between companies. All of this in accordance with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