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https://www.cnmc.es/expedientes/c086517</w:t>
      </w:r>
    </w:p>
    <w:p>
      <w:r>
        <w:t>Pages translated : 2</w:t>
      </w:r>
    </w:p>
    <w:p/>
    <w:p>
      <w:r>
        <w:rPr>
          <w:b/>
        </w:rPr>
        <w:t>[Pages 1–2]</w:t>
      </w:r>
    </w:p>
    <w:p>
      <w:r>
        <w:t>RESOLUTION</w:t>
        <w:br/>
        <w:t>File No. C/0865/17 INTEGRA / CODMAN NEUROSURGERY BUSINESS</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July 13, 2017</w:t>
        <w:br/>
        <w:t xml:space="preserve">Having reviewed the file processed in accordance with Law 15/2007, of July 3, on the Defense of Competition, notification of the economic concentration operation consisting of the acquisition by INTEGRA LIFESCIENCES HOLDINGS CORPORATION (INTEGRA) of exclusive control of CODMAN NEUROSURGERY BUSINESS (CNS), which is a business division of DEPUY SYNTHES INC., a 100% subsidiary of the JOHNSON &amp; JOHNSON GROUP, active in the medical devices sector for neurosurgery, and being in agreement with the report and proposal submitted by the Directorate of Competition, the Competition Chamber of the National Commission on Markets and Competition has resolved, in application of Article 57.2.b) of the aforementioned Law, to authorize the said concentration operation subject to the fulfillment of the commitments presented by INTEGRA on June 29, 2017. </w:t>
        <w:br/>
        <w:t>Furthermore, and taking into account the Communication from the European Commission on restrictions directly linked to the execution of a concentration and necessary for that purpose (2005/C 56/03) and the practice of national competition authorities, this Competition Chamber considers that non-competition clauses, as long as they are limited to the geographical scope contemplated therein, confidentiality, and transitional agreements are ancillary restrictions to the operation, except for (i) any restriction that prevents the acquisition or holding of shares in a company that competes with the acquired company for exclusively financial investment purposes that does not confer directly or indirectly management functions or substantial influence in the competing company, (ii) the period of the confidentiality clause that exceeds three years, and (iii) the exclusive nature of the transitional agreements, which will be considered to go beyond what is reasonable for the achievement of the operation, and therefore do not qualify as necessary and ancillary restrictions, thus remaining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