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https://www.cnmc.es/expedientes/c087017</w:t>
      </w:r>
    </w:p>
    <w:p>
      <w:r>
        <w:t>Pages translated : 2</w:t>
      </w:r>
    </w:p>
    <w:p/>
    <w:p>
      <w:r>
        <w:rPr>
          <w:b/>
        </w:rPr>
        <w:t>[Pages 1–2]</w:t>
      </w:r>
    </w:p>
    <w:p>
      <w:r>
        <w:t>RESOLUTION</w:t>
        <w:br/>
        <w:t>File No. C/0870/17 FAM AB/SPS BUSINESS</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July 13, 2017</w:t>
        <w:br/>
        <w:t>Having reviewed the file processed in accordance with Law 15/2007, of July 3, on the Defense of Competition, notification of the economic concentration operation consisting of the acquisition of exclusive control by FAM AB (hereinafter FAM) over the Sandvik Processing Systems Business (SPS) of SANDVIK AKTIEBOLAG (hereinafter SANDVIK), including the respective subsidiaries, through the acquisition vehicle F-INTRESSENTER 3 AB (hereinafter INTRESSENTER), whose 100% ownership corresponds to FAM, and being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Likewise, and taking into account the Communication from the European Commission on restrictions directly linked to the execution of a concentration and necessary for that purpose (2005/C 56/03) and the practice of national competition authorities, this Competition Chamber considers that the competition clause, regarding any restriction that prevents the acquisition or holding of shares in a company, whether or not it competes with the acquired company, for exclusively financial investment purposes that do not confer directly or indirectly management functions or substantial influence in the competing company, goes beyond what is reasonable for the achievement of the operation, and therefore does not qualify as a necessary and ancillary restriction to it, remaining subject to the regulations on agreements between companies. All of this in accordance with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