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https://www.cnmc.es/expedientes/c087117</w:t>
      </w:r>
    </w:p>
    <w:p>
      <w:r>
        <w:t>Pages translated : 2</w:t>
      </w:r>
    </w:p>
    <w:p/>
    <w:p>
      <w:r>
        <w:rPr>
          <w:b/>
        </w:rPr>
        <w:t>[Pages 1–2]</w:t>
      </w:r>
    </w:p>
    <w:p>
      <w:r>
        <w:t>RESOLUTION</w:t>
        <w:br/>
        <w:t>File No. C/0871/17 MAKRO/MIDBAN</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Barcelona, on July 20, 2017</w:t>
        <w:br/>
        <w:t>Having reviewed the file processed in accordance with Law 15/2007, of July 3, on the Defense of Competition, notification of the economic concentration operation consisting of the acquisition by Makro Autoservicio Mayorista, S.A. (hereinafter MAKRO) of 100% of the shares of Midban Esolutions, S.L. (hereinafter MIDBAN), so that MAKRO will move from exercising joint control over MIDBAN and its subsidiaries to exclusive control,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Likewise, and taking into account the Communication of the European Commission on restrictions directly linked to the execution of a concentration and necessary for that purpose (2005/C 56/03) and the practice of national competition authorities, this Competition Chamber considers that regarding the non-compete agreement, insofar as it refers to areas where the acquired entity does not operate, or to the acquisition or holding of shares in a company that competes with the acquired company for exclusively financial investment purposes but does not confer directly or indirectly management functions or substantial influence over the competing company, it is outside the operation and therefore subject to the regulations on agreements between companies. All of this in accordance with what is stated in paragraph (24)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