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https://www.cnmc.es/expedientes/c087317</w:t>
      </w:r>
    </w:p>
    <w:p>
      <w:r>
        <w:t>Pages translated : 1</w:t>
      </w:r>
    </w:p>
    <w:p/>
    <w:p>
      <w:r>
        <w:rPr>
          <w:b/>
        </w:rPr>
        <w:t>[Pages 1–1]</w:t>
      </w:r>
    </w:p>
    <w:p>
      <w:r>
        <w:t>RESOLUTION</w:t>
        <w:br/>
        <w:t>File No. C/0873/17 SANTANDER / SEMS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27, 2017</w:t>
      </w:r>
    </w:p>
    <w:p>
      <w:r>
        <w:t>Having reviewed the file processed in accordance with Law 15/2007, of July 3, on the Defense of Competition, notification of the economic concentration operation consisting of the acquisition by Banco Santander, S.A. of 100% of the share capital of Elavon Merchant Services, Payment Institution, S.L., such that SANTANDER moves from exercising joint control over SEMS to exclusive control, and being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