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https://www.cnmc.es/expedientes/c087517</w:t>
      </w:r>
    </w:p>
    <w:p>
      <w:r>
        <w:t>Pages translated : 1</w:t>
      </w:r>
    </w:p>
    <w:p/>
    <w:p>
      <w:r>
        <w:rPr>
          <w:b/>
        </w:rPr>
        <w:t>[Pages 1–1]</w:t>
      </w:r>
    </w:p>
    <w:p>
      <w:r>
        <w:t>RESOLUTION</w:t>
        <w:br/>
        <w:t>File No. C/0875/17 VINCI ENERGIES / ACUNTIA</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27, 2017</w:t>
        <w:br/>
        <w:t>Having reviewed the file processed in accordance with Law 15/2007, of July 3, on the Defense of Competition, notification of the economic concentration operation consisting of the acquisition by VINCI Energies España, S.A.U., of exclusive control of Acuntia, S.A.U., through the purchase of 84.24% of the share capital of the holding company Global Airedale, S.L., which in turn holds 100% of the share capital of ACUNTUA, and being in agreement with the report and the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