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https://www.cnmc.es/expedientes/c087717</w:t>
      </w:r>
    </w:p>
    <w:p>
      <w:r>
        <w:t>Pages translated : 2</w:t>
      </w:r>
    </w:p>
    <w:p/>
    <w:p>
      <w:r>
        <w:rPr>
          <w:b/>
        </w:rPr>
        <w:t>[Pages 1–2]</w:t>
      </w:r>
    </w:p>
    <w:p>
      <w:r>
        <w:t>RESOLUTION</w:t>
        <w:br/>
        <w:t>File No. C/0877/17 COSCO/NOATUM PORT</w:t>
        <w:br/>
        <w:t>COMPETITION CHAMBER</w:t>
        <w:br/>
        <w:t>President</w:t>
        <w:br/>
        <w:t>Mr. José María Marín Quemada</w:t>
        <w:br/>
        <w:t>Counselors</w:t>
        <w:br/>
        <w:t>Ms. María Ortiz Aguilar</w:t>
        <w:br/>
        <w:t>Mr. Josep Maria Guinart Solà</w:t>
        <w:br/>
        <w:t>Ms. Clotilde de la Higuera González</w:t>
        <w:br/>
        <w:t>Secretary</w:t>
        <w:br/>
        <w:t>Mr. Joaquim Hortalà i Vallvé</w:t>
        <w:br/>
        <w:t>In Madrid, on August 30, 2017</w:t>
        <w:br/>
        <w:t>Having reviewed the file processed in accordance with Law 15/2007, of July 3, on the Defense of Competition, notification of the economic concentration operation consisting of the acquisition of exclusive control of NOATUM PORT HOLDINGS S.L.U. by COSCO SHIPPING PORTS (SPAIN) LIMITED, belonging to the COSCO shipping group, through the acquisition of 51% of its share capital (49% of NOATUM PORT's capital will remain in the hands of TURIA PORT INVESTMENTS (HOLDINGS) C.V.), and in agreement with the report and the proposal submitted by the Directorate of Competition, the Competition Chamber of the National Commission on Markets and Competition has resolved, in application of Article 57.2.a) of the aforementioned Law, to authorize the said concentration operation.</w:t>
        <w:br/>
        <w:t>On the other hand, taking into account the practice of the CNMC and what is established in the Commission Communication on restrictions directly linked to the execution of a Concentration and necessary for that purpose (2005/C 56/03), this Competition Chamber considers that the non-compete agreement is not necessary for the execution of the operation, and therefore cannot be considered an ancillary restriction to it, being subject, in its case, to the applicable regulations on agreements between companies. All of this in accordance with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