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https://www.cnmc.es/expedientes/c088017</w:t>
      </w:r>
    </w:p>
    <w:p>
      <w:r>
        <w:t>Pages translated : 2</w:t>
      </w:r>
    </w:p>
    <w:p/>
    <w:p>
      <w:r>
        <w:rPr>
          <w:b/>
        </w:rPr>
        <w:t>[Pages 1–2]</w:t>
      </w:r>
    </w:p>
    <w:p>
      <w:r>
        <w:t>RESOLUTION</w:t>
        <w:br/>
        <w:t>File No. C/0880/17 OTPP/MÉMORA</w:t>
        <w:br/>
        <w:t>COMPETITION CHAMBER</w:t>
        <w:br/>
        <w:t>President</w:t>
        <w:br/>
        <w:t>Mr. José María Marín Quemada</w:t>
        <w:br/>
        <w:t>Counselors</w:t>
        <w:br/>
        <w:t>Ms. María Ortiz Aguilar</w:t>
        <w:br/>
        <w:t>Ms. Clotilde de la Higuera González</w:t>
        <w:br/>
        <w:t>Ms. María Pilar Canedo Arrillaga</w:t>
        <w:br/>
        <w:t>Secretary</w:t>
        <w:br/>
        <w:t>Mr. Joaquim Hortalà i Vallvé</w:t>
        <w:br/>
        <w:t>In Madrid, on September 7, 2017</w:t>
        <w:br/>
        <w:t>Having reviewed the file processed in accordance with Law 15/2007, of July 3, on the Defense of Competition, notification of the economic concentration operation consisting of the acquisition of exclusive control of MÉMORA SERVICIOS FUNERARIOS, S.L.U., by ONTARIO TEACHERS’ PENSION PLAN BOARD,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 Likewise, taking into account the Communication from the European Commission on restrictions directly linked to the execution of a concentration and necessary for that purpose (2005/C 56/03) and the practice of national competition authorities, this Competition Chamber considers that the non-compete clause, regarding any restriction that prevents the acquisition or holding of shares in a company, whether or not it competes with the acquired company, for exclusively financial investment purposes that do not confer directly or indirectly management functions or substantial influence in the competing company, goes beyond what is reasonable for the achievement of the operation, and is not considered either necessary or ancillary, thus remaining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