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https://www.cnmc.es/expedientes/c088117</w:t>
      </w:r>
    </w:p>
    <w:p>
      <w:r>
        <w:t>Pages translated : 2</w:t>
      </w:r>
    </w:p>
    <w:p/>
    <w:p>
      <w:r>
        <w:rPr>
          <w:b/>
        </w:rPr>
        <w:t>[Pages 1–2]</w:t>
      </w:r>
    </w:p>
    <w:p>
      <w:r>
        <w:t>RESOLUTION</w:t>
        <w:br/>
        <w:t>File No. C/0881/17 /17 MEIF 5 ARENA / EMPARK</w:t>
        <w:br/>
        <w:t>COMPETITION CHAMBER</w:t>
        <w:br/>
        <w:t>President</w:t>
        <w:br/>
        <w:t>Mr. José María Marín Quemada</w:t>
        <w:br/>
        <w:t>Counselors</w:t>
        <w:br/>
        <w:t>Ms. María Ortiz Aguilar</w:t>
        <w:br/>
        <w:t>Ms. Clotilde de la Higuera González</w:t>
        <w:br/>
        <w:t>Ms. María Pilar Canedo Arrillaga</w:t>
        <w:br/>
        <w:t>Secretary</w:t>
        <w:br/>
        <w:t>Mr. Joaquim Hortalà i Vallvé</w:t>
        <w:br/>
        <w:t>In Madrid, on September 7, 2017</w:t>
        <w:br/>
        <w:t>Having reviewed the file processed in accordance with Law 15/2007, of July 3, on the Defense of Competition, notification of the economic concentration operation consisting of the acquisition by MEIF 5 ARENA HOLDINGS S.L.U., of exclusive control of EMPARK APARCAMIENTOS Y SERVICIOS, S.A., the Competition Chamber of the Council of the National Commission on Markets and Competition has resolved, in application of art. 57.2.a) of the aforementioned Law, to authorize the said concentration operation.</w:t>
        <w:br/>
        <w:t>Furthermore, taking into account the Communication from the European Commission on restrictions directly linked to the execution of a concentration and necessary for that purpose (2005/C 56/03) and the practice of national competition authorities, this Competition Chamber considers that: (i) the non-solicitation agreement insofar as its duration does not exceed two years; (ii) the non-competition agreement, as it affects Spain; (iii) and the Transitional Service Agreements insofar as their duration does not exceed three years, do not go beyond what is reasonably required by the notified concentration operation, being considered an integral part of it. The non-competition agreement, as it exceeds the activity in Spain of the acquired Empark in the geographical areas where it operates, does not form part of the operation and is not considered ancillary to it, thus, such restriction is subject to the regulations on agreements between companies. All of this in accordance with what is indicated in the aforementioned proposal report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