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https://www.cnmc.es/expedientes/c088217</w:t>
      </w:r>
    </w:p>
    <w:p>
      <w:r>
        <w:t>Pages translated : 1</w:t>
      </w:r>
    </w:p>
    <w:p/>
    <w:p>
      <w:r>
        <w:rPr>
          <w:b/>
        </w:rPr>
        <w:t>[Pages 1–1]</w:t>
      </w:r>
    </w:p>
    <w:p>
      <w:r>
        <w:t>RESOLUTION</w:t>
        <w:br/>
        <w:t>Case File C/0882/17 LSFX FLAVUM BIDCO S.L.-PIGMENTS I. B.V.</w:t>
        <w:br/>
        <w:t>COMPETITION CHAMBER</w:t>
        <w:br/>
        <w:t>President</w:t>
        <w:br/>
        <w:t>Mr. José María Marín Quemada</w:t>
        <w:br/>
        <w:t>Counselors</w:t>
        <w:br/>
        <w:t>Ms. María Ortiz Aguilar</w:t>
        <w:br/>
        <w:t>Mr. Josep Maria Guinart Solà</w:t>
        <w:br/>
        <w:t>Ms. Clotilde de la Higuera González</w:t>
        <w:br/>
        <w:t>Ms. María Pilar Canedo Arrillaga</w:t>
        <w:br/>
        <w:t>Secretary</w:t>
        <w:br/>
        <w:t>Mr. Joaquim Hortalà i Vallvé</w:t>
        <w:br/>
        <w:t>In Madrid, on September 28, 2017</w:t>
        <w:br/>
        <w:t>Having reviewed the case file processed in accordance with Law 15/2007, of July 3, on the Defense of Competition, notification of the economic concentration operation consisting of the acquisition of exclusive control over PIGMENTS I, B.V. by LSFX FLAVUM BIDCO, S.L., the Competition Chamber of the Council of the National Commission on Markets and Competition has resolved, pursuant to art. 57.2.a) of the aforementioned Law, to authorize the said concentration operation.</w:t>
        <w:br/>
        <w:t>Likewise, regarding its ancillary restrictions, taking into account the legislation and the aforementioned Communication to the Commission, it is considered that they do not go beyond what is reasonably required by the operation as long as they do not exceed the time frame and geographical scope specified in the Communication. Anything that exceeds will be subject to the regulations on agreements between companies. All of this in accordance with the proposal report presented by the Competition Directorate.</w:t>
        <w:br/>
        <w:t>This Resolution shall be communicated to the Competition Directorate of the National Commission on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