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https://www.cnmc.es/expedientes/c088517</w:t>
      </w:r>
    </w:p>
    <w:p>
      <w:r>
        <w:t>Pages translated : 2</w:t>
      </w:r>
    </w:p>
    <w:p/>
    <w:p>
      <w:r>
        <w:rPr>
          <w:b/>
        </w:rPr>
        <w:t>[Pages 1–2]</w:t>
      </w:r>
    </w:p>
    <w:p>
      <w:r>
        <w:t>RESOLUTION</w:t>
        <w:br/>
        <w:t>File No. C/0885/17 ETEX/PLADUR</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21, 2017</w:t>
        <w:br/>
        <w:t>Having reviewed the file processed in accordance with Law 15/2007, of July 3, on the Defense of Competition, notification of the economic concentration operation consisting of the acquisition by ETEX BUILDING PERFORMANCE INTERNATIONAL, S.A.S. (“ETEX”) of exclusive control of PLADUR GYPSUM, S.A. (“PLADUR”), the Competition Chamber of the Council of the National Commission on Markets and Competition has resolved, in application of art. 57.2.a) of the aforementioned Law, to authorize the said concentration operation. Likewise, taking into account the Communication of the European Commission on restrictions directly linked to the execution of a concentration and necessary for that purpose (2005/C 56/03) and the practice of national competition authorities, this Competition Chamber considers that in relation to the service provision contract, anything that exceeds the aforementioned Communication, and in particular a duration longer than five years, is not necessary or accessory for the execution of the operation, and must therefore be subject to the regulations on agreements between companies. All of this in accordance with what is stated in paragraph (12) of the aforementioned proposal report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