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https://www.cnmc.es/expedientes/c088617</w:t>
      </w:r>
    </w:p>
    <w:p>
      <w:r>
        <w:t>Pages translated : 1</w:t>
      </w:r>
    </w:p>
    <w:p/>
    <w:p>
      <w:r>
        <w:rPr>
          <w:b/>
        </w:rPr>
        <w:t>[Pages 1–1]</w:t>
      </w:r>
    </w:p>
    <w:p>
      <w:r>
        <w:t>RESOLUTION</w:t>
        <w:br/>
        <w:t>File No. C/0886/17 THE CARLYLE GROUP / ADB SAFEGATE LUXEMBOURG SA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21, 2017</w:t>
        <w:br/>
        <w:t>Having reviewed the file processed in accordance with Law 15/2007, of July 3, on the Defense of Competition, notification of the economic concentration operation consisting of the acquisition by THE CARLYLE GROUP, through various vehicles and investment funds, of exclusive control over ADB SAFEGATE LUXEMBOURG SA, the Competition Chamber of the Council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