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https://www.cnmc.es/expedientes/c088717</w:t>
      </w:r>
    </w:p>
    <w:p>
      <w:r>
        <w:t>Pages translated : 1</w:t>
      </w:r>
    </w:p>
    <w:p/>
    <w:p>
      <w:r>
        <w:rPr>
          <w:b/>
        </w:rPr>
        <w:t>[Pages 1–1]</w:t>
      </w:r>
    </w:p>
    <w:p>
      <w:r>
        <w:t>RESOLUTION</w:t>
        <w:br/>
        <w:t>File No. C/0887/17 AGS / NOVAEDAT BALEARES</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September 21, 2017</w:t>
        <w:br/>
        <w:t xml:space="preserve">Having reviewed the file processed in accordance with Law 15/2007, of July 3, on the Defense of Competition, notification of the economic concentration operation consisting of the acquisition by GRUPO 5 ACCIÓN Y GESTIÓN SOCIAL, S.A., of exclusive control over the companies NOVAEDAT PICAFORT, S.A. and GERIÁTRICO MANACOR, S.A. (jointly referred to as NOVAEDAT BALEARES), the Competition Chamber of the Council of the National Commission on Markets and Competition has resolved, in application of Article 57.2.a) of the aforementioned Law, to authorize the said concentration operation. </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