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https://www.cnmc.es/expedientes/c088817</w:t>
      </w:r>
    </w:p>
    <w:p>
      <w:r>
        <w:t>Pages translated : 2</w:t>
      </w:r>
    </w:p>
    <w:p/>
    <w:p>
      <w:r>
        <w:rPr>
          <w:b/>
        </w:rPr>
        <w:t>[Pages 1–2]</w:t>
      </w:r>
    </w:p>
    <w:p>
      <w:r>
        <w:t>RESOLUTION</w:t>
        <w:br/>
        <w:t>File No. C/0888/17 CMR GMBH / ROFIN-SINAR UK LIMITED</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September 21, 2017</w:t>
        <w:br/>
        <w:t>Having reviewed the file processed in accordance with Law 15/2007, of July 3, on the Defense of Competition, notification of the economic concentration operation consisting of the acquisition by CMR GMBH, through a share purchase, of exclusive control (100% of the shares) of ROFIN-SINAR U.K. LIMITED, a company of the ROFIN-SINAR group, which was acquired by COHERENT, INC., in November 2016, the Competition Chamber of the National Commission of Markets and Competition has resolved, in application of Article 57.2.a) of the aforementioned Law, to authorize the said concentration operation, taking into account that its execution is subject to the approval by the European Commission of CMR as the buyer, within the framework of the divestment commitments acquired in the case COMP/M.8055, COHERENT/ROFIN-SINAR TECHNOLOGIES.</w:t>
        <w:br/>
        <w:t>Likewise, and taking into account the Communication of the European Commission on restrictions directly linked to the execution of a concentration and necessary for that purpose (2005/C 56/03) and the practice of national competition authorities, it is considered that (i) in relation to supply agreements, any period exceeding 5 years and (ii) with respect to the confidentiality clause in what may exceed what is stated in the aforementioned Communication, is not considered ancillary or necessary for the execution of the concentration operation, thus remaining subject to the regulations on agreements between companies. All of this in accordance with what is indicated in the aforementioned proposal report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