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https://www.cnmc.es/expedientes/c088917</w:t>
      </w:r>
    </w:p>
    <w:p>
      <w:r>
        <w:t>Pages translated : 2</w:t>
      </w:r>
    </w:p>
    <w:p/>
    <w:p>
      <w:r>
        <w:rPr>
          <w:b/>
        </w:rPr>
        <w:t>[Pages 1–2]</w:t>
      </w:r>
    </w:p>
    <w:p>
      <w:r>
        <w:t>RESOLUTION</w:t>
        <w:br/>
        <w:t>File No. C/0889/17 SIEMENS/EPOC</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September 21, 2017</w:t>
        <w:br/>
        <w:t>Having reviewed the file processed in accordance with Law 15/2007, of July 3, on the Defense of Competition, notification of the economic concentration operation consisting of the acquisition by SIEMENS AG (SIEMENS) of exclusive control over the EPOC business owned by ALERE INC. (ALERE) through its subsidiary INVERNESS CANADIAN ACQUISITION COMPANY (INVERNESS CANADIAN), the Competition Chamber of the Council of the National Commission on Markets and Competition has resolved, in application of Article 57.2.a) of the aforementioned Law, to authorize the said concentration operation taking into account that its execution is subject to the authorization of SIEMENS as the buyer of ALERE's EPOC business, which must be agreed upon by the European Commission, based on its Decision dated January 25, 2017 in Case M.7982 ABBOTT LABORATORIES/ALERE.</w:t>
        <w:br/>
        <w:t>Likewise, and taking into account the Communication from the European Commission on restrictions directly linked to the execution of a concentration and necessary for that purpose (2005/C56/03) and the practice of national competition authorities, this Competition Chamber considers that anything exceeding what is included in the aforementioned Communication regarding the content of the transitional service provision agreements is not considered ancillary or necessary for the execution of the operation, thus remaining subject to the regulations on agreements between companies. All of this in accordance with the aforementioned proposal report presented by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