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https://www.cnmc.es/expedientes/c089117</w:t>
      </w:r>
    </w:p>
    <w:p>
      <w:r>
        <w:t>Pages translated : 2</w:t>
      </w:r>
    </w:p>
    <w:p/>
    <w:p>
      <w:r>
        <w:rPr>
          <w:b/>
        </w:rPr>
        <w:t>[Pages 1–2]</w:t>
      </w:r>
    </w:p>
    <w:p>
      <w:r>
        <w:t>RESOLUTION</w:t>
        <w:br/>
        <w:t>File No. C/0891/17 NATUS/INTEGRA-ASSETS</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October 5, 2017</w:t>
        <w:br/>
        <w:t>Having reviewed the file processed in accordance with Law 15/2007, of July 3, on the Defense of Competition, notification of the economic concentration operation concerning the acquisition by NATUS MEDICAL INCORPORATED of the global intracranial pressure (ICP) monitoring business of INTEGRA LIFESCIENCIES HOLDINGS CORPORATION,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Furthermore, and in accordance with the Communication of the European Commission on restrictions directly linked to the execution of a concentration and necessary for that purpose (2005/C56/03) and the practice of national competition authorities, this Competition Chamber considers that, (i) regarding the production agreement, in the case of unlimited quantities, which establish exclusivity or confer the status of preferred supplier or buyer, (ii) and in the transitional service provision agreement, what exceeds what is contemplated in the aforementioned Communication, is not considered ancillary or necessary for the execution of the operation and is subject to the regulations on agreements between companies. All of this in accordance with paragraph (12) of the aforementioned report proposal submitted by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