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https://www.cnmc.es/expedientes/c089417</w:t>
      </w:r>
    </w:p>
    <w:p>
      <w:r>
        <w:t>Pages translated : 2</w:t>
      </w:r>
    </w:p>
    <w:p/>
    <w:p>
      <w:r>
        <w:rPr>
          <w:b/>
        </w:rPr>
        <w:t>[Pages 1–2]</w:t>
      </w:r>
    </w:p>
    <w:p>
      <w:r>
        <w:t>RESOLUTION</w:t>
        <w:br/>
        <w:t>File No. C/0894/17 DOUGLAS/ DAPARGEL- Acquired Business</w:t>
        <w:br/>
        <w:t>COMPETITION CHAMBER</w:t>
        <w:br/>
        <w:t>President</w:t>
        <w:br/>
        <w:t>Mr. José María Marín Quemada</w:t>
        <w:br/>
        <w:t>Counselors</w:t>
        <w:br/>
        <w:t>Ms. María Ortiz Aguilar</w:t>
        <w:br/>
        <w:t>Mr. Josep Maria Guinart Solà</w:t>
        <w:br/>
        <w:t>Ms. Clotilde de la Higuera González</w:t>
        <w:br/>
        <w:t>Ms. María Pilar Canedo Arrillaga</w:t>
        <w:br/>
        <w:t>Secretary</w:t>
        <w:br/>
        <w:t>Mr. Joaquim Hortalà i Vallvé</w:t>
        <w:br/>
        <w:t>In Madrid, on October 5, 2017</w:t>
      </w:r>
    </w:p>
    <w:p>
      <w:r>
        <w:t>Having reviewed the file processed in accordance with Law 15/2007, of July 3, on the Defense of Competition, notification of the economic concentration operation consisting of the exclusive control acquisition by DOUGLAS ESPAÑA, S.A.U., of part of the business operated by DAPARGEL, S.L.U., and in agreement with the report and proposal submitted by the Competition Directorate, the Competition Chamber of the Council of the National Commission of Markets and Competition has resolved, in application of Article 57.2.a) of the aforementioned Law, to authorize the said concentration operation.</w:t>
      </w:r>
    </w:p>
    <w:p>
      <w:r>
        <w:t>Furthermore, taking into account the Communication from the European Commission regarding restrictions directly linked to the execution of a concentration and necessary for that purpose (2005/C 56/03) and the practice of national competition authorities, this Competition Chamber considers that in the present case, the content and geographical scope of the non-competition and confidentiality clauses, as well as the licensing agreement, do not go beyond what is reasonably required by the notified concentration operation, being considered an integral part of it. However, for the non-competition and confidentiality clause, a period of 3 years is not deemed necessary for the operation, so any duration exceeding 2 years will be subject to the regulations applicable to agreements between companies. All of this in accordance with the aforementioned report proposal from the Competition Directorate.</w:t>
      </w:r>
    </w:p>
    <w:p>
      <w:r>
        <w:t>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a period of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