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https://www.cnmc.es/expedientes/c089517</w:t>
      </w:r>
    </w:p>
    <w:p>
      <w:r>
        <w:t>Pages translated : 1</w:t>
      </w:r>
    </w:p>
    <w:p/>
    <w:p>
      <w:r>
        <w:rPr>
          <w:b/>
        </w:rPr>
        <w:t>[Pages 1–1]</w:t>
      </w:r>
    </w:p>
    <w:p>
      <w:r>
        <w:t>RESOLUTION</w:t>
        <w:br/>
        <w:t>File No. C/0895/17 EQUINIX/TGS</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Madrid, on October 5, 2017</w:t>
        <w:br/>
        <w:t>Having reviewed the file processed in accordance with Law 15/2007, of July 3, on the Defense of Competition, notification of the economic concentration operation consisting of the acquisition by the company EQUINIX (NETHERLANDS) HOLDINGS B.V. of exclusive control over TGS ACQUISITION HOLDINGS, S.L., which in turn controls 100% of ITCONIC, S.A.U., CLOUDMAS IBÉRICA, S.L.U., and ITCONIC PORTUGAL, S.A. through a purchase agreement of 100% of the share capital of TGS by EQUINIX and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