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https://www.cnmc.es/expedientes/c089617</w:t>
      </w:r>
    </w:p>
    <w:p>
      <w:r>
        <w:t>Pages translated : 2</w:t>
      </w:r>
    </w:p>
    <w:p/>
    <w:p>
      <w:r>
        <w:rPr>
          <w:b/>
        </w:rPr>
        <w:t>[Pages 1–2]</w:t>
      </w:r>
    </w:p>
    <w:p>
      <w:r>
        <w:t>RESOLUTION</w:t>
        <w:br/>
        <w:t>File No. C/0896/17 EUROPASTRY / INGAPAN</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on November 16, 2017</w:t>
      </w:r>
    </w:p>
    <w:p>
      <w:r>
        <w:t>Having reviewed the file processed in accordance with Law 15/2007, of July 3, on the Defense of Competition, notification of the concentration consisting, after an initial transitional period of joint control, in the acquisition by the company EUROPASTRY S.A., of exclusive control of the company INGAPAN CORPORACIÓN, the parent company of a group of companies dedicated to the manufacture and marketing of frozen doughs for bread, pastries, and confectionery, with the prior and simultaneous acquisition by EUROPASTRY of the companies INGAPAN CANARIAS S.L.U and ATLANTIC PAN S.L., companies engaged in the same activity as INGAPAN, and being in agreement with the report and proposal submitted by the Directorate of Competition, the Competition Chamber of the Council of the National Commission of Markets and Competition has resolved, in application of Article 57.2.a) of the aforementioned Law, to authorize the said concentration operation.</w:t>
      </w:r>
    </w:p>
    <w:p>
      <w:r>
        <w:t>Furthermore, taking into account the Communication from the European Commission on restrictions directly linked to the execution of a concentration and necessary for that purpose (2005/C 56/03) and the practice of national competition authorities, this Competition Chamber considers that, in the present case, (i) regarding the non-compete clause, any duration exceeding three years, as well as (ii) the restriction of not exceeding a participation of 1% in competing companies insofar as they are carried out exclusively for financial investment purposes and do not confer management functions or decisive influence, are not necessary or ancillary to the analyzed operation and are therefore subject to the regulations on agreements between companies. All of this in accordance with paragraphs (29) to (32) of the aforementioned report proposal from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