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https://www.cnmc.es/expedientes/c089717</w:t>
      </w:r>
    </w:p>
    <w:p>
      <w:r>
        <w:t>Pages translated : 2</w:t>
      </w:r>
    </w:p>
    <w:p/>
    <w:p>
      <w:r>
        <w:rPr>
          <w:b/>
        </w:rPr>
        <w:t>[Pages 1–2]</w:t>
      </w:r>
    </w:p>
    <w:p>
      <w:r>
        <w:t>RESOLUTION</w:t>
        <w:br/>
        <w:t>File No. C/0897/17 GSR / NISSAN LITHIUM BATTERY BUSINESS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October 5, 2017</w:t>
        <w:br/>
        <w:t>Having reviewed the file processed in accordance with Law 15/2007, of July 3, on the Defense of Competition, notification of the economic concentration operation consisting of the acquisition by GSR Capital Group of exclusive control over the business of research, development, and production of lithium-ion (Li-ion) batteries for electric vehicles from Nissan, through the purchase of the Business from Nissan Motor Co., Ltd., and being in agreement with the report and the proposal submitted by the Directorate of Competition, the Competition Chamber of the National Commission on Markets and Competition has resolved, in application of Article 57.2.a) of the aforementioned Law, to authorize the said concentration operation.</w:t>
        <w:br/>
        <w:t>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in the present case, as it affects Spain, the non-solicitation agreements (insofar as they protect the buyer) and the purchase obligations are ancillary to the concentration operation and should be understood as included within the same operation and authorized with it. In contrast, as it affects Spain, the non-competition and confidentiality agreements would only be ancillary to the operation insofar as they do not exceed three years from the closing date, thus being subject to the regulations on agreements between companies to the extent that they exceed this time limit. Additionally, the non-solicitation agreements, insofar as they protect employees or executives of the seller not transferred with the Business, would not be ancillary to the operation and are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