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https://www.cnmc.es/expedientes/c089817</w:t>
      </w:r>
    </w:p>
    <w:p>
      <w:r>
        <w:t>Pages translated : 1</w:t>
      </w:r>
    </w:p>
    <w:p/>
    <w:p>
      <w:r>
        <w:rPr>
          <w:b/>
        </w:rPr>
        <w:t>[Pages 1–1]</w:t>
      </w:r>
    </w:p>
    <w:p>
      <w:r>
        <w:t>RESOLUTION</w:t>
        <w:br/>
        <w:t>File No. C/0898/17 MERIDIAM/COPCISA/COMSA/CEDINSA</w:t>
        <w:br/>
        <w:t>COMPETITION CHAMBER</w:t>
        <w:br/>
        <w:t>President</w:t>
        <w:br/>
        <w:t>Mr. José María Marín Quemada</w:t>
        <w:br/>
        <w:t>Counselors</w:t>
        <w:br/>
        <w:t>Ms. María Ortiz Aguilar</w:t>
        <w:br/>
        <w:t>Ms. Clotilde de la Higuera González</w:t>
        <w:br/>
        <w:t>Ms. María Pilar Canedo Arrillaga</w:t>
        <w:br/>
        <w:t>Secretary of the Council</w:t>
        <w:br/>
        <w:t>Mr. Joaquim Hortalà i Vallvé</w:t>
        <w:br/>
        <w:t>In Madrid, on November 16, 2017</w:t>
        <w:br/>
        <w:t>Having reviewed the file processed in accordance with Law 15/2007, of July 3, on the Defense of Competition, notification of the economic concentration operation consisting of the acquisition by MERIDIAM INVESTMENTS II, S.A.S., COPCISA INFRAESTRUCTURAS, S.L., (COPCISA) and COMSA CONCESIONES S.L., (COMSA) of joint control over the company CEDINSA CONCESIONARIA, S.A., through the acquisition by MERIDIAM of 22% of its share capital belonging to the company COPISA CONCESIONES S.L., and 34% of its shareholding belonging to FCC CONSTRUCCION S.A., while COPCISA and COMSA maintain their pre-existing shareholdings, and being in agreement with the report and proposal submitted by the Directorate of Competition, the Competition Chamber of the Council of the National Commission of Markets and Competition has resolved, in application of Article 57.2.a) of the aforementioned Law, to authorize the said concentration operation.</w:t>
        <w:br/>
        <w:t>This Resolution shall be communicated to the Directorate of Competition of the National Commission of Markets and Competition and notified to the interested party, informing them that it concludes the administrative procedure and that a contentious-administrative appeal may be filed against it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