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https://www.cnmc.es/expedientes/c089917</w:t>
      </w:r>
    </w:p>
    <w:p>
      <w:r>
        <w:t>Pages translated : 2</w:t>
      </w:r>
    </w:p>
    <w:p/>
    <w:p>
      <w:r>
        <w:rPr>
          <w:b/>
        </w:rPr>
        <w:t>[Pages 1–2]</w:t>
      </w:r>
    </w:p>
    <w:p>
      <w:r>
        <w:t>RESOLUTION</w:t>
        <w:br/>
        <w:t>File No. C/0899/17 APPLUS ITEUVE / SUPERVISION Y CONTROL</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Barcelona, on November 7, 2017</w:t>
        <w:br/>
        <w:t>Having reviewed the file processed in accordance with Law 15/2007, of July 3, on the Defense of Competition, notification of the economic concentration operation, through an abbreviated form consisting of the acquisition of exclusive control of SUPERVISION y CONTROL, S.A, by APPLUS ITEUVE TECHNOLOGY, S.L.,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 Furthermore, taking into account the Communication from the European Commission on restrictions directly linked to the execution of a concentration and necessary for that purpose (2005/C 56/03) and the practice of national competition authorities, this Competition Chamber considers that, in the present case, the content of the non-compete clauses (provided that it does not prevent the seller from acquiring or holding shares for financial investment purposes) and confidentiality and the geographical scope of both clauses are reasonable, and therefore can be considered ancillary to the operation for the first two years from the date the operation has been formalized and for the territory of Galicia. In all matters exceeding the specified term, content, and geographical scope, both clauses will be subject to the regulations governing agreements between companies. All of this in accordance with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