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https://www.cnmc.es/expedientes/c090217</w:t>
      </w:r>
    </w:p>
    <w:p>
      <w:r>
        <w:t>Pages translated : 2</w:t>
      </w:r>
    </w:p>
    <w:p/>
    <w:p>
      <w:r>
        <w:rPr>
          <w:b/>
        </w:rPr>
        <w:t>[Pages 1–2]</w:t>
      </w:r>
    </w:p>
    <w:p>
      <w:r>
        <w:t>RESOLUTION</w:t>
        <w:br/>
        <w:t>File No. C/0902/17 AVIAGEN / HUBBARD</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November 7, 2017</w:t>
        <w:br/>
        <w:t>Having reviewed the file processed in accordance with Law 15/2007, of July 3, on the Defense of Competition, notification of the economic concentration operation consisting of the acquisition by Aviagen Group Holding, Inc., of the poultry genetics division for meat production of Hubbard Holding SAS,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Furthermore, and taking into account the Communication of the European Commission on restrictions directly linked to the execution of a concentration and necessary for that purpose (2005/C 56/03) and the practice of national competition authorities, this Competition Chamber considers that in the present case, the content of the non-compete clause goes beyond what is reasonably required by the notified concentration operation, and therefore is not considered either ancillary or necessary for the operation to the extent that it prohibits the seller from acquiring or holding shares in companies that compete with the acquired business for exclusively financial investment purposes that do not confer directly or indirectly management functions or substantial influence in the competing company, thus remaining subject to the general regulations applicable to agreements between companies.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