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https://www.cnmc.es/expedientes/c090417</w:t>
      </w:r>
    </w:p>
    <w:p>
      <w:r>
        <w:t>Pages translated : 1</w:t>
      </w:r>
    </w:p>
    <w:p/>
    <w:p>
      <w:r>
        <w:rPr>
          <w:b/>
        </w:rPr>
        <w:t>[Pages 1–1]</w:t>
      </w:r>
    </w:p>
    <w:p>
      <w:r>
        <w:t xml:space="preserve">RESOLUTION  </w:t>
        <w:br/>
        <w:t xml:space="preserve">File No. C/0904/17 COCA COLA / NESTEA SPAIN  </w:t>
        <w:br/>
        <w:t xml:space="preserve">COMPETITION CHAMBER  </w:t>
        <w:br/>
        <w:t xml:space="preserve">President  </w:t>
        <w:br/>
        <w:t xml:space="preserve">Ms. María Ortiz Aguilar  </w:t>
        <w:br/>
        <w:t xml:space="preserve">Counselors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In Madrid, on November 21, 2017</w:t>
      </w:r>
    </w:p>
    <w:p>
      <w:r>
        <w:t>Having reviewed the file processed in accordance with Law 15/2007, of July 3, on the Defense of Competition, notification of the economic concentration operation consisting of the acquisition of exclusive control of the "NESTEA" brand by THE COCA-COLA COMPANY, through its subsidiary EUROPEAN REFRESHMENTS LIMITED, by means of the granting by NESTLÉ, S.A., of an exploitation license for a period of 7 years, and being in agreement with the report and proposal submitted by the Directorate of Competition, the Competition Chamber of the Council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