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https://www.cnmc.es/expedientes/c090617</w:t>
      </w:r>
    </w:p>
    <w:p>
      <w:r>
        <w:t>Pages translated : 1</w:t>
      </w:r>
    </w:p>
    <w:p/>
    <w:p>
      <w:r>
        <w:rPr>
          <w:b/>
        </w:rPr>
        <w:t>[Pages 1–1]</w:t>
      </w:r>
    </w:p>
    <w:p>
      <w:r>
        <w:t>RESOLUTION</w:t>
        <w:br/>
        <w:t>File No. C/0906/17 TIMAB MAGNESIUM/MAGNA INVERSIONES</w:t>
        <w:br/>
        <w:t>COMPETITION CHAMBER</w:t>
        <w:br/>
        <w:t>President</w:t>
        <w:br/>
        <w:t>Ms. María Ortiz Aguilar</w:t>
        <w:br/>
        <w:t>Counselors</w:t>
        <w:br/>
        <w:t>Mr. Josep Maria Guinart Solà</w:t>
        <w:br/>
        <w:t>Ms. Clotilde de la Higuera González</w:t>
        <w:br/>
        <w:t>Ms. María Pilar Canedo Arrillaga</w:t>
        <w:br/>
        <w:t>Secretary of the Council</w:t>
        <w:br/>
        <w:t>Mr. Joaquim Hortalà i Vallvé</w:t>
        <w:br/>
        <w:t>In Madrid, on November 21, 2017</w:t>
        <w:br/>
        <w:t>Having reviewed the file processed in accordance with Law 15/2007, of July 3, on the Defense of Competition, notification of the economic concentration operation consisting of the acquisition by TIMAB MAGNESIUM S.R.L. of exclusive control over MAGNA INVERSIONES, S.A. and, consequently, of indirect exclusive control over its two subsidiaries MAGNESITAS NAVARRAS, S.A. and MAGNESITAS Y DOLOMIAS DE BOROBIA, S.L., and being in agreement with the report and proposal submitted by the Directorate of Competition, the Competition Chamber of the Council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