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https://www.cnmc.es/expedientes/c090917</w:t>
      </w:r>
    </w:p>
    <w:p>
      <w:r>
        <w:t>Pages translated : 1</w:t>
      </w:r>
    </w:p>
    <w:p/>
    <w:p>
      <w:r>
        <w:rPr>
          <w:b/>
        </w:rPr>
        <w:t>[Pages 1–1]</w:t>
      </w:r>
    </w:p>
    <w:p>
      <w:r>
        <w:t>RESOLUTION</w:t>
        <w:br/>
        <w:t>File No. C/0909/17 BANCO CEISS/DUERO VIDA/DUERO PENSIONES</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November 30, 2017</w:t>
        <w:br/>
        <w:t>Having reviewed the file processed in accordance with Law 15/2007, of July 3, on the Defense of Competition, notification of the economic concentration operation consisting of the exclusive control acquisition by Grupo UNICAJA, through its subsidiary BANCO DE CAJA ESPAÑA DE INVERSIONES, SALAMANCA Y SORIA, S.A., over two companies, UNIÓN DEL DUERO, COMPAÑÍA DE SEGUROS DE VIDA, S.A., and DUERO PENSIONES GESTORA DE FONDOS DE PENSIONES, S.A., over which it previously exercised joint control, and being in agreement with the report and proposal submitted by the Directorate of Competition, the Competition Chamber of the Council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