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https://www.cnmc.es/expedientes/c091117</w:t>
      </w:r>
    </w:p>
    <w:p>
      <w:r>
        <w:t>Pages translated : 1</w:t>
      </w:r>
    </w:p>
    <w:p/>
    <w:p>
      <w:r>
        <w:rPr>
          <w:b/>
        </w:rPr>
        <w:t>[Pages 1–1]</w:t>
      </w:r>
    </w:p>
    <w:p>
      <w:r>
        <w:t>RESOLUTION</w:t>
        <w:br/>
        <w:t>File No. C/0911/17 SERVIRED/SISTEMA 4B/EURO 6000</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February 1, 2018</w:t>
        <w:br/>
        <w:t>Having reviewed the file processed in accordance with Law 15/2007, of July 3, on the Defense of Competition, notification of the economic concentration operation consisting of the merger of SR2, SOCIEDAD DE MEDIOS DE PAGO, S.A., SISTEMA 4B, S.L., and EURO 6000, S.A., managing companies of the domestic card payment systems in Spain Servired, Sistema 4B, and Euro 6000, and being in agreement with the report and proposal submitted by the Competition Directorate, the Competition Chamber of the Council of the National Commission of Markets and Competition has resolved, in application of Article 57.2.b) of the aforementioned Law, to authorize in the first phase the aforementioned concentration operation subject to the fulfillment of the final commitments presented by SR2, SOCIEDAD DE MEDIOS DE PAGO, S.A., SISTEMA 4B, S.L., and EURO 6000, S.A., dated January 22, 2018.</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