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https://www.cnmc.es/expedientes/c091517</w:t>
      </w:r>
    </w:p>
    <w:p>
      <w:r>
        <w:t>Pages translated : 1</w:t>
      </w:r>
    </w:p>
    <w:p/>
    <w:p>
      <w:r>
        <w:rPr>
          <w:b/>
        </w:rPr>
        <w:t>[Pages 1–1]</w:t>
      </w:r>
    </w:p>
    <w:p>
      <w:r>
        <w:t>RESOLUTION</w:t>
        <w:br/>
        <w:t>File No. C/0915/17 ARDIAN/PANASA/BELLSOLÁ</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on January 10, 2018</w:t>
        <w:br/>
        <w:t xml:space="preserve">Having reviewed the file processed in accordance with Law 15/2007, of July 3, on the Defense of Competition, notification of the economic concentration operation consisting, after an initial transitional period of joint control, in the acquisition by the investment fund ARDIAN LBO FUND VI B, wholly owned by the investment company ARDIAN FRANCE S.A., of exclusive control of the companies GRUPO EMPRESARIAL PANASA S.L., and BELLSOLÁ S.A.U., companies engaged in the manufacture and marketing of fresh bread and pastries, as well as frozen dough for bread, pastries, confectionery, and savory snacks, and being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