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https://www.cnmc.es/expedientes/c091617</w:t>
      </w:r>
    </w:p>
    <w:p>
      <w:r>
        <w:t>Pages translated : 2</w:t>
      </w:r>
    </w:p>
    <w:p/>
    <w:p>
      <w:r>
        <w:rPr>
          <w:b/>
        </w:rPr>
        <w:t>[Pages 1–2]</w:t>
      </w:r>
    </w:p>
    <w:p>
      <w:r>
        <w:t>RESOLUTION</w:t>
        <w:br/>
        <w:t>File No. C/0916/17 CINVEN/DAREVA/PLANASA</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January 10, 2018</w:t>
        <w:br/>
        <w:t>Having reviewed the file processed in accordance with Law 15/2007, of July 3, on the Defense of Competition, notification of the economic concentration operation consisting of the indirect acquisition of joint control of PLANASA EQUITIES S.L. (PLANASA) by CINVEN CAPITAL MANAGEMENT (VI) GENERAL PARTNER LIMITED (CINVEN) and DAREVA EQUITIES, S.L. (DAREVA),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However, taking into account the Communication from the European Commission on restrictions directly linked to the execution of a concentration and necessary for that purpose (2005/C56/03) and the practice of national competition authorities, this Competition Chamber considers that: (i) the non-compete clause, insofar as it restricts or prevents the acquisition or holding of shares in a company, whether or not it competes with the acquired company, for exclusively financial investment purposes that do not confer directly or indirectly management functions or substantial influence in the competing company, or that exceeds the scope of products and services in which PLANASA was present and the geographical scope in which the parent companies were present or planned to enter at the time of the transaction, or that exceeds the duration of the joint venture itself, goes beyond what is reasonable for the achievement of the operation, and therefore does not qualify as a necessary and ancillary restriction to it, remaining subject to the regulations on agreements between companies; (ii) the non-solicitation and confidentiality clauses, in terms of their duration, go beyond what is reasonable for the achievement of the operation, remaining subject to the regulations on agreements between companies to the extent that they exceed the duration of the joint venture itself.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