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https://www.cnmc.es/expedientes/c091817</w:t>
      </w:r>
    </w:p>
    <w:p>
      <w:r>
        <w:t>Pages translated : 2</w:t>
      </w:r>
    </w:p>
    <w:p/>
    <w:p>
      <w:r>
        <w:rPr>
          <w:b/>
        </w:rPr>
        <w:t>[Pages 1–2]</w:t>
      </w:r>
    </w:p>
    <w:p>
      <w:r>
        <w:t>RESOLUTION</w:t>
        <w:br/>
        <w:t>File No. C/0918/17 SIDENOR / CAPRESA</w:t>
        <w:br/>
        <w:t>COMPETITION CHAMBER</w:t>
        <w:br/>
        <w:t>President</w:t>
        <w:br/>
        <w:t>Mr. José María Marín Quemada</w:t>
        <w:br/>
        <w:t>Counselors</w:t>
        <w:br/>
        <w:t>Ms. María Ortiz Aguilar</w:t>
        <w:br/>
        <w:t>Mr. Josep Maria Guinart Solà</w:t>
        <w:br/>
        <w:t>Ms. Clotilde de la Higuera González</w:t>
        <w:br/>
        <w:t>Ms. María Pilar Canedo Arrillaga</w:t>
        <w:br/>
        <w:t>Secretary of the Council</w:t>
        <w:br/>
        <w:t>Mr. Joaquim Hortalà i Vallvé</w:t>
        <w:br/>
        <w:t>In Madrid, on January 25, 2018</w:t>
        <w:br/>
        <w:t>Having reviewed the file processed in accordance with Law 15/2007, of July 3, on the Defense of Competition, notification of the economic concentration operation consisting of the acquisition by SIDENOR HOLDINGS EUROPA S.A.U., of exclusive control of CALIBRADOS DE PRECISIÓN, S.A.U., through its subsidiary SIDENOR ACEROS ESPECIALES, S.L.U, and being in agreement with the report and proposal submitted by the Competition Directorate, the Competition Chamber of the National Commission on Markets and Competition has resolved, in application of Article 57.2.a) of the aforementioned Law, to authorize the said concentration operation.</w:t>
        <w:br/>
        <w:t>Furthermore, and taking into account the Communication from the European Commission on restrictions directly linked to the execution of a concentration and necessary for that purpose (2005/C 56/03) and the practice of national competition authorities, this Competition Chamber considers that, in relation to the Share Purchase Agreement, anything that restricts the seller from holding or acquiring shares for purposes exclusively of financial investment that do not confer directly or indirectly management functions or substantial influence in the competing company, is not necessary or accessory for the execution of the operation, thus remaining subject to the regulations on agreements between companies. All of this in accordance with what is indicated in paragraphs (12) to (19) of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