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https://www.cnmc.es/expedientes/c092118</w:t>
      </w:r>
    </w:p>
    <w:p>
      <w:r>
        <w:t>Pages translated : 2</w:t>
      </w:r>
    </w:p>
    <w:p/>
    <w:p>
      <w:r>
        <w:rPr>
          <w:b/>
        </w:rPr>
        <w:t>[Pages 1–2]</w:t>
      </w:r>
    </w:p>
    <w:p>
      <w:r>
        <w:t>RESOLUTION</w:t>
        <w:br/>
        <w:t>File No. C/921/18 SRG-INVISTA EQUITIES AAT BUSINESS</w:t>
        <w:br/>
        <w:t>COMPETITION CHAMBER</w:t>
        <w:br/>
        <w:t>President</w:t>
        <w:br/>
        <w:t>Mr. José María Marín Quemada</w:t>
        <w:br/>
        <w:t>Counselors</w:t>
        <w:br/>
        <w:t>Ms. María Ortiz Aguilar</w:t>
        <w:br/>
        <w:t>Mr. Josep Maria Guinart Solà</w:t>
        <w:br/>
        <w:t>Ms. Clotilde de la Higuera González</w:t>
        <w:br/>
        <w:t>Secretary of the Council</w:t>
        <w:br/>
        <w:t>Mr. Joaquim Hortalà i Vallvé</w:t>
        <w:br/>
        <w:t>In Madrid, on February 22, 2018</w:t>
        <w:br/>
        <w:t>Having reviewed the file processed in accordance with Law 15/2007, of July 3, on the Defense of Competition, notification of the economic concentration operation consisting of the acquisition of exclusive control over the textile business of INVISTA EQUITIES, LLC by SHADONG RUYI TECHNOLOGY GROUP, CO. LTD through the acquisition of 100% of its share capital,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Furthermore, and taking into account the Communication from the European Commission on restrictions directly linked to the execution of a concentration and necessary for that purpose (2005/C 56/03) and the practice of national competition authorities, the Competition Chamber considers that (i) the non-compete clause, to the extent that it exceeds the geographical scope and the products that constitute the activity of the transferred business, as well as the temporal scope of three years, and (ii) the purchase obligation, to the extent that it exceeds what is included in the Communication from the Commission, go beyond what is reasonably required by the concentration operation and, therefore, cannot be considered necessary or ancillary for the achievement of the concentration operation,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