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https://www.cnmc.es/expedientes/c092218</w:t>
      </w:r>
    </w:p>
    <w:p>
      <w:r>
        <w:t>Pages translated : 1</w:t>
      </w:r>
    </w:p>
    <w:p/>
    <w:p>
      <w:r>
        <w:rPr>
          <w:b/>
        </w:rPr>
        <w:t>[Pages 1–1]</w:t>
      </w:r>
    </w:p>
    <w:p>
      <w:r>
        <w:t>RESOLUTION</w:t>
        <w:br/>
        <w:t>File No. C/0922/18 NAVIERA ARMAS/TRASMEDITERRÁNEA</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May 22, 2018</w:t>
      </w:r>
    </w:p>
    <w:p>
      <w:r>
        <w:t>The Competition Chamber has analyzed the concentration file processed in accordance with Law 15/2007, of July 3, on the Defense of Competition, consisting of the acquisition of exclusive control of COMPAÑÍA TRASMEDITERRÁNEA, S.A., by a subsidiary of BAHÍA DE LAS ISLETAS, S.L., parent company of the NAVIERA ARMAS group. In accordance with the report and proposal submitted by the Competition Directorate, the Competition Chamber has resolved, in application of article 57.2.b) of the aforementioned Law 15/2007, of July 3, to authorize the aforementioned concentration operation subject to the fulfillment of the final commitments presented by NAVIERA ARMAS on May 16, 2018.</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